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487789589"/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珙县2020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面向全国</w:t>
      </w: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公开选聘在编在职</w:t>
      </w:r>
    </w:p>
    <w:p>
      <w:pPr>
        <w:spacing w:line="680" w:lineRule="exact"/>
        <w:jc w:val="center"/>
        <w:rPr>
          <w:rFonts w:ascii="方正小标宋简体" w:hAnsi="仿宋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教师</w:t>
      </w:r>
      <w:bookmarkEnd w:id="0"/>
      <w:r>
        <w:rPr>
          <w:rFonts w:hint="eastAsia" w:ascii="方正小标宋简体" w:hAnsi="仿宋" w:eastAsia="方正小标宋简体" w:cs="方正小标宋简体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的公告</w:t>
      </w:r>
    </w:p>
    <w:p>
      <w:pPr>
        <w:spacing w:line="596" w:lineRule="exact"/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µÈÏß Western" w:hAnsi="µÈÏß Wester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根据珙县教育事业发展需要，经研究，决定面向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公开选聘在编在职教师，现将有关事项公告如下：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一、选聘名额及岗位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选聘名额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具体岗位详见《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珙县2020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年公开选聘在编在职教师岗位表》。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二、选聘条件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（一）基本条件。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公办学校在编在职教师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（珙县在编在职教师不得报考）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日前参加教学工作（以公办学校在编在职的时间为准）。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3.年龄在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周岁及以下（截止本次报名结束之日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日未满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周岁，以身份证上的出生日期为准）。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遵纪守法，品行端正，未受过刑事处罚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尚未解除党纪、政纪处分的人员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违法、违纪行为正在接受审查的人员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国民教育本科及以上学历（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珙县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乡镇小学放宽到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国民教育专科及以上学历）。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6.近五年的年度考核均为合格及以上等次（201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年参加工作的人员，见习期的年度考核结果视同为合格）。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7.近三年具有与报考岗位一致的学科任教经历。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县城学校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岗位报考者（音乐、体育岗位除外）还需符合下列条件之一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1.近三年（（2016-2017学年、2017-2018学年、2018-2019学年）曾获得县（区）级及其以上教学质量奖(获奖学科需与报考岗位学科一致)。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2.获得县（区）级及其以上党委、政府或教育主管部门表彰的荣誉称号。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3.具备县（区）级及以上骨干教师资格（需已取得结业证书）。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参加教育主管部门组织的现场课堂教学展评（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微课、晒课、视频课、作品赛、技能赛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）获得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级二等及以上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三、选聘程序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_GB2312" w:hAnsi="黑体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1.报名时间。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7月17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日上午9:00-12:00，下午14:30-17:00。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2.报名地点。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珙县教育和体育局政工股（珙县体育中心幸福馆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。报名须出具本人身份证、学历（学位）证、教师资格证、职称资格证、普通话证书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相应资格证书和获奖证书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（验原件，交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印件），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近五年年度考核复印件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一寸半身免冠近期彩色同底证件照片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张。材料必须现场提供，材料不齐、不实者均不予报名。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4.报名登记。经资格初审合格后，填写《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珙县2020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年公开选聘在编在职教师报名表》（一式两份），经工作人员审核并签字认可后予以登记报名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发放面试通知单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eastAsiaTheme="minor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面试人员的确定。现场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资格审查合格的报考者全部进入面试。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面试分值及内容。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面试满分100分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，除音乐、体育教师岗位采用专业技能面试形式外，其余岗位面试采用说课的形式进行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面试人员面试成绩低于60分的，不予进入下一步招聘环节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。面试内容如下：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ind w:left="218" w:leftChars="104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说课岗位：根据现场提供的对应学科一个课时的教材内容进行说课，准备时间15分钟，说课时间15分钟。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育教师岗位：1.全国第三套中小学广播体操《舞动青春》示范（40分）。要求：示范第4至6节（即：4.踢腿运动、5.体侧运动、6.体转运动,预备节视为第1节）。2.全国第三套中小学广播体操《舞动青春》分解动作示范讲解（40分）。要求：第5节(5.体侧运动)分解动作示范讲解。3.特长展示（20分）。要求：适用于中小学大课间活动或篮球、足球等专业技能展示。时间不超过5分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音乐教师岗位：1.（电）钢琴弹奏（20分）。要求：自选一首钢琴曲独奏，曲谱自带，时间不超过5分钟。2.视唱（30分）。要求：现场抽取简谱内容进行视唱，准备时间1分钟，视唱时间不超过2分钟。3.（电）钢琴弹唱（40分）。要求：自弹自唱歌曲（歌曲自选，内容为中小学音乐教材必唱歌曲曲目），曲谱自带，时间不超过5分钟。4.特长展示（10分）。要求：舞蹈或器乐（钢琴除外）自选一项展示，乐器及舞蹈道具自带（其中，舞蹈音乐使用U盘单独存储），时间不超过5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.成绩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公示。</w:t>
      </w:r>
      <w:r>
        <w:rPr>
          <w:rFonts w:hint="eastAsia" w:ascii="仿宋_GB2312" w:hAnsi="仿宋" w:eastAsia="仿宋_GB2312" w:cs="楷体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面试（说课）成绩将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在中国三江人才网（http://www.ybrc128.com/）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珙县人民政府网站（网址：</w:t>
      </w:r>
      <w:bookmarkStart w:id="1" w:name="_Hlk11340551"/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http://www.gongxian.gov.cn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</w:t>
      </w:r>
      <w:bookmark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根据招聘岗位及名额，按照面试（说课）成绩，从高分到低分依次等额确定进入体检人选（成绩相同的，进行加试确定）。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体检标准参照四川省教育厅印发的《四川省申请认定教师资格人员体检工作指导意见》（2011年修订后意见）执行。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体检合格人员进行考核。考核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主要是对拟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教师的政治思想、品德修养、工作表现、年度考核情况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及报考资格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等进行考核审查。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不合格的，取消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递补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体检、考核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不合格、考生自动放弃或违规违纪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出现的缺额，可根据该岗位空缺名额，按照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合格后确定的拟聘用人员将在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中国三江人才网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bookmarkStart w:id="4" w:name="_GoBack"/>
      <w:bookmarkEnd w:id="4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珙县人民政府网站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上公示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个工作日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在公示期内，凡举报者应以真实姓名实事求是地反映问题，并提供必要的调查线索。凡以匿名或其他方式反映的问题不予受理。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2.对公示期间反映有问题并查有实据、不符合选聘条件的，取消被公示人聘用资格。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楷体_GB2312" w:hAnsi="黑体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）聘用</w:t>
      </w:r>
      <w:r>
        <w:rPr>
          <w:rFonts w:hint="eastAsia" w:ascii="楷体_GB2312" w:hAnsi="仿宋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经公示无异议者，按现行事业单位人事制度办理聘用手续。所有选聘人员须于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5日前到岗，且须在规定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内完善相关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否则取消聘用。选聘人员按照事业单位岗位设置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有关规定参加聘用学校的岗位竞聘，服从选聘学校岗位竞聘方案管理。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四、特别提示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选聘人员提供的学历、资格证书等报名资料应当真实、准确，选聘人员如隐瞒有关情况或提供虚假信息的，一经查实，按《事业单位工作人员处分暂行规定》、《四川省事业单位人员聘用制管理试行办法》及相关违规违纪规定处理，并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（二）请选聘人员确保联系方式正确、畅通。否则因无法与选聘人员取得联系所造成的后果，由选聘人员自行负责。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五、本公告未尽事宜，由珙县教育和体育局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珙县人力资源和社会保障局负责解释。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公告发布网址：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中国三江人才网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珙县人民政府网站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珙县教育和体育局咨询电话：</w:t>
      </w:r>
      <w:bookmarkStart w:id="2" w:name="_Hlk485115481"/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0831—4039865</w:t>
      </w:r>
      <w:bookmarkEnd w:id="2"/>
      <w:r>
        <w:rPr>
          <w:rFonts w:ascii="µÈÏß Western" w:hAnsi="µÈÏß Wester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珙县人力资源和社会保障局咨询电话：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0831—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4011972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bookmarkStart w:id="3" w:name="_Hlk487792396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珙县2020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年公开选聘在编在职教师岗位表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bookmarkEnd w:id="3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珙县2020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年公开选聘在编在职教师报名表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珙县教育和体育局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珙县人力资源和社会保障局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96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96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珙县2020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年公开选聘在编在职教师岗位表</w:t>
      </w:r>
    </w:p>
    <w:tbl>
      <w:tblPr>
        <w:tblStyle w:val="4"/>
        <w:tblW w:w="8966" w:type="dxa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47"/>
        <w:gridCol w:w="783"/>
        <w:gridCol w:w="733"/>
        <w:gridCol w:w="1048"/>
        <w:gridCol w:w="752"/>
        <w:gridCol w:w="2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选聘学科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选聘名额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所需教师资格类别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面试形式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20200801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20200802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20200803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20200804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20200805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20200806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20200807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20200808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四川省珙县第一高级中学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20200809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四川省珙县职业技术学校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职高语文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高中或职高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20200810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四川省珙县职业技术学校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高中或职高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20200811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四川省珙县职业技术学校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职高英语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高中或职高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20200812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四川省珙县职业技术学校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职高计算机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高中或职高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所学专业：计算机类。在本单位最低服务年限5周年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20200813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四川省珙县职业技术学校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职高旅游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所学专业：旅游管理类。在本单位最低服务年限5周年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20200814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四川省珙县职业技术学校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职高汽修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职高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所学专业：汽车服务工程，汽车维修工程教育，汽车制造，机械工程，车辆工程（二级学科）。在本单位最低服务年限5周年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巡场中学中坝校区（珙县实验中学）1名、杉木树中学3名，按成绩从高到低选择岗位。在本单位最低服务年限5周年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巡场中学中坝校区（珙县实验中学）3名、杉木树中学1名，按成绩从高到低选择岗位。在本单位最低服务年限5周年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巡场中学中坝校区（珙县实验中学）3名、杉木树中学1名，按成绩从高到低选择岗位。在本单位最低服务年限5周年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20200818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20200819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20200820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20200821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思品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巡场中学中坝校区（珙县实验中学）1名、杉木树中学1名，按成绩从高到低选择岗位。在本单位最低服务年限5周年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20200822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巡场中学中坝校区（珙县实验中学）1名、杉木树中学1名，按成绩从高到低选择岗位。在本单位最低服务年限5周年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20200823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初中信息技术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20200824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初中体育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巡场中学中坝校区（珙县实验中学）1名，在本单位最低服务年限5周年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巡场镇二小4名、米市街小学1名、巡场镇二小天池小学（珙县实验小学）8名、按成绩从高到低选择岗位。在本单位最低服务年限5周年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巡场镇二小1名、米市街小学1名、巡场镇二小天池小学（珙县实验小学）4名、按成绩从高到低选择岗位。在本单位最低服务年限5周年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巡场镇二小天池小学（珙县实验小学）1名，在本单位最低服务年限5周年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巡场镇二小天池小学（珙县实验小学）1名，在本单位最低服务年限5周年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巡场镇二小天池小学（珙县实验小学）1名，在本单位最低服务年限5周年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巡场镇二小天池小学（珙县实验小学）1名，在本单位最低服务年限5周年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珙县县城小学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专业技能面试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巡场镇二小天池小学（珙县实验小学）2名，在本单位最低服务年限5周年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洛亥镇中心校1名、洛表镇中心校1名、洛表镇三小1名、上罗镇中心校1名、孝儿镇中心校1名，按成绩从高到低选择岗位。在本单位最低服务年限5周年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洛表镇中心校1名、洛表镇三小1名、上罗镇中心校1名、孝儿镇中心校1名，按成绩从高到低选择岗位。在本单位最低服务年限5周年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珙县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乡镇小学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说课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洛亥镇中心校1名，在本单位最低服务年限5周年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，最低服务期内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调动。</w:t>
            </w:r>
          </w:p>
        </w:tc>
      </w:tr>
    </w:tbl>
    <w:p>
      <w:pPr>
        <w:widowControl/>
        <w:spacing w:line="596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6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6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珙县2020</w:t>
      </w:r>
      <w:r>
        <w:rPr>
          <w:rFonts w:hint="eastAsia"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年公开选聘在编在职教师报名表</w:t>
      </w:r>
    </w:p>
    <w:tbl>
      <w:tblPr>
        <w:tblStyle w:val="4"/>
        <w:tblW w:w="9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20"/>
        <w:gridCol w:w="236"/>
        <w:gridCol w:w="711"/>
        <w:gridCol w:w="133"/>
        <w:gridCol w:w="967"/>
        <w:gridCol w:w="22"/>
        <w:gridCol w:w="843"/>
        <w:gridCol w:w="720"/>
        <w:gridCol w:w="5"/>
        <w:gridCol w:w="467"/>
        <w:gridCol w:w="901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 w:cs="仿宋_GB2312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具体到校区</w:t>
            </w:r>
            <w:r>
              <w:rPr>
                <w:rFonts w:hint="eastAsia" w:cs="仿宋_GB2312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档案身份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现工作岗位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教师资格证类型及证书</w:t>
            </w:r>
            <w:r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及现聘等级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  <w:jc w:val="center"/>
        </w:trPr>
        <w:tc>
          <w:tcPr>
            <w:tcW w:w="525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近五年任教情况</w:t>
            </w:r>
          </w:p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近五年年度考核情况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任教班级、学科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综合排名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2013-2014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2013-2014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2014-2015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2014-2015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2015-2016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2015-2016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2016-2017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2016-2017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2017-2018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2017-2018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报考岗位名称</w:t>
            </w: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报考岗位代码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具备选聘</w:t>
            </w:r>
          </w:p>
          <w:p>
            <w:pP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条件情况</w:t>
            </w:r>
          </w:p>
        </w:tc>
        <w:tc>
          <w:tcPr>
            <w:tcW w:w="8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（请从小学读书分段填写至今）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  <w:p>
            <w:pPr>
              <w:jc w:val="center"/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  <w:p>
            <w:pPr>
              <w:jc w:val="center"/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双面均</w:t>
            </w:r>
          </w:p>
          <w:p>
            <w:pPr>
              <w:jc w:val="center"/>
              <w:rPr>
                <w:rFonts w:hint="default" w:eastAsiaTheme="minor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需粘贴）</w:t>
            </w:r>
          </w:p>
        </w:tc>
        <w:tc>
          <w:tcPr>
            <w:tcW w:w="8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选聘人承诺</w:t>
            </w:r>
          </w:p>
        </w:tc>
        <w:tc>
          <w:tcPr>
            <w:tcW w:w="8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我已仔细阅读本次考调公告，理解其内容，本人郑重承诺：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报名时我所填写的基本信息真实可靠，所提供的证书、证件及</w:t>
            </w:r>
            <w:r>
              <w:rPr>
                <w:rFonts w:hint="eastAsia" w:hAnsi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证明</w:t>
            </w: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等报名材料真实有效。</w:t>
            </w:r>
          </w:p>
          <w:p>
            <w:pPr>
              <w:ind w:firstLine="420" w:firstLineChars="200"/>
              <w:jc w:val="left"/>
              <w:rPr>
                <w:rFonts w:hint="eastAsia"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本人报名之日属于事业单位在编在职教师，同时保证在规定时间内完善相关手续，并服从调入单位的职称、岗位管理。</w:t>
            </w:r>
          </w:p>
          <w:p>
            <w:pPr>
              <w:jc w:val="left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以下内容由工作人员填写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cs="Times New Roman"/>
                <w:b/>
                <w:bCs/>
                <w:color w:val="000000" w:themeColor="text1"/>
                <w:kern w:val="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同 意 </w:t>
            </w: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 名 登 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资格初审人签字：</w:t>
            </w:r>
          </w:p>
        </w:tc>
        <w:tc>
          <w:tcPr>
            <w:tcW w:w="2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资格终审人签字：</w:t>
            </w:r>
          </w:p>
        </w:tc>
        <w:tc>
          <w:tcPr>
            <w:tcW w:w="2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96" w:lineRule="exact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注：本表请双面打印，一式二份。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A6C870-5372-4657-B169-1AAFC7CD2A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271F857D-E400-4D81-B3FB-5B0692A157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DFD16DC-9FFB-44ED-AE4C-90DC32E7CA21}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E1E2F787-B3B7-47D5-83C8-4A80D67DC36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998EE32-6C7C-494B-8068-02C0F124F9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D667615-33FA-4A6D-8E6C-DD64FC259F3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83693AAD-FE6B-4EE2-9FAA-4C4190E478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7E6C"/>
    <w:rsid w:val="00010221"/>
    <w:rsid w:val="00082BC8"/>
    <w:rsid w:val="000D5476"/>
    <w:rsid w:val="001A150E"/>
    <w:rsid w:val="00245A2D"/>
    <w:rsid w:val="002C16AD"/>
    <w:rsid w:val="002C25D4"/>
    <w:rsid w:val="00310C87"/>
    <w:rsid w:val="004C2FED"/>
    <w:rsid w:val="004E1417"/>
    <w:rsid w:val="00590437"/>
    <w:rsid w:val="007306E9"/>
    <w:rsid w:val="00863DBD"/>
    <w:rsid w:val="009428E8"/>
    <w:rsid w:val="009E720A"/>
    <w:rsid w:val="00AB1C43"/>
    <w:rsid w:val="00B35342"/>
    <w:rsid w:val="00C03308"/>
    <w:rsid w:val="00CB2705"/>
    <w:rsid w:val="00D46395"/>
    <w:rsid w:val="00DE296E"/>
    <w:rsid w:val="00EF7B9E"/>
    <w:rsid w:val="03067AE5"/>
    <w:rsid w:val="04B556A1"/>
    <w:rsid w:val="05C167FC"/>
    <w:rsid w:val="06817EBB"/>
    <w:rsid w:val="078A4BA2"/>
    <w:rsid w:val="09E457E4"/>
    <w:rsid w:val="0B373835"/>
    <w:rsid w:val="0CEF393D"/>
    <w:rsid w:val="0E3D12D8"/>
    <w:rsid w:val="0EBE089A"/>
    <w:rsid w:val="0EEB6927"/>
    <w:rsid w:val="105708A6"/>
    <w:rsid w:val="112E6735"/>
    <w:rsid w:val="136926EB"/>
    <w:rsid w:val="13775E59"/>
    <w:rsid w:val="13DE529A"/>
    <w:rsid w:val="149415BA"/>
    <w:rsid w:val="15B979EC"/>
    <w:rsid w:val="16692DB9"/>
    <w:rsid w:val="16C0777C"/>
    <w:rsid w:val="17760257"/>
    <w:rsid w:val="1B1F7461"/>
    <w:rsid w:val="1B727679"/>
    <w:rsid w:val="1C763AE5"/>
    <w:rsid w:val="1ECE52B5"/>
    <w:rsid w:val="214D0229"/>
    <w:rsid w:val="216C711B"/>
    <w:rsid w:val="228D7CBD"/>
    <w:rsid w:val="2313576A"/>
    <w:rsid w:val="24B13068"/>
    <w:rsid w:val="24D24107"/>
    <w:rsid w:val="24D746C9"/>
    <w:rsid w:val="25BE494A"/>
    <w:rsid w:val="28304CC2"/>
    <w:rsid w:val="28EC2B0F"/>
    <w:rsid w:val="29815B3C"/>
    <w:rsid w:val="2F5941E2"/>
    <w:rsid w:val="308578D5"/>
    <w:rsid w:val="31226048"/>
    <w:rsid w:val="335C43F7"/>
    <w:rsid w:val="33694108"/>
    <w:rsid w:val="34240467"/>
    <w:rsid w:val="3588351E"/>
    <w:rsid w:val="3759268D"/>
    <w:rsid w:val="3A367BAE"/>
    <w:rsid w:val="3B570BE2"/>
    <w:rsid w:val="3CE7650A"/>
    <w:rsid w:val="3FAB53BA"/>
    <w:rsid w:val="3FC952FB"/>
    <w:rsid w:val="429C20F0"/>
    <w:rsid w:val="42E56E50"/>
    <w:rsid w:val="44E50B1B"/>
    <w:rsid w:val="45E350CB"/>
    <w:rsid w:val="47DA1E43"/>
    <w:rsid w:val="48B31478"/>
    <w:rsid w:val="4AA87E6C"/>
    <w:rsid w:val="4C22323E"/>
    <w:rsid w:val="4EB7554E"/>
    <w:rsid w:val="4F482850"/>
    <w:rsid w:val="50C27A22"/>
    <w:rsid w:val="51F156BC"/>
    <w:rsid w:val="54A65980"/>
    <w:rsid w:val="54F25F33"/>
    <w:rsid w:val="57CE4E00"/>
    <w:rsid w:val="57FA5B0D"/>
    <w:rsid w:val="59A03323"/>
    <w:rsid w:val="59D10295"/>
    <w:rsid w:val="5C8349DB"/>
    <w:rsid w:val="5CA0730D"/>
    <w:rsid w:val="5CAE7F0F"/>
    <w:rsid w:val="5D733A5C"/>
    <w:rsid w:val="5DD808E8"/>
    <w:rsid w:val="5E802B8B"/>
    <w:rsid w:val="5F427E63"/>
    <w:rsid w:val="60690D12"/>
    <w:rsid w:val="608763B0"/>
    <w:rsid w:val="615F758F"/>
    <w:rsid w:val="616F3127"/>
    <w:rsid w:val="624B6984"/>
    <w:rsid w:val="641174CC"/>
    <w:rsid w:val="64E42F70"/>
    <w:rsid w:val="6891760C"/>
    <w:rsid w:val="68EE4A13"/>
    <w:rsid w:val="69C970C4"/>
    <w:rsid w:val="6A927AE2"/>
    <w:rsid w:val="6B0156C8"/>
    <w:rsid w:val="6CF50C33"/>
    <w:rsid w:val="6D0A62D5"/>
    <w:rsid w:val="6D3F65C1"/>
    <w:rsid w:val="6E1758A4"/>
    <w:rsid w:val="6E661AB0"/>
    <w:rsid w:val="6F1A4B8D"/>
    <w:rsid w:val="6F434450"/>
    <w:rsid w:val="6F5354BC"/>
    <w:rsid w:val="701F7BC1"/>
    <w:rsid w:val="71225E6C"/>
    <w:rsid w:val="71750756"/>
    <w:rsid w:val="75A9621A"/>
    <w:rsid w:val="76EC7632"/>
    <w:rsid w:val="77812E36"/>
    <w:rsid w:val="78963467"/>
    <w:rsid w:val="7A2F5D98"/>
    <w:rsid w:val="7ABA724A"/>
    <w:rsid w:val="7B0779DD"/>
    <w:rsid w:val="7DA92812"/>
    <w:rsid w:val="7E3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566</Words>
  <Characters>3231</Characters>
  <Lines>26</Lines>
  <Paragraphs>7</Paragraphs>
  <TotalTime>0</TotalTime>
  <ScaleCrop>false</ScaleCrop>
  <LinksUpToDate>false</LinksUpToDate>
  <CharactersWithSpaces>3790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2019-08-03T09:06:00Z</dcterms:created>
  <dc:creator>琴</dc:creator>
  <cp:lastModifiedBy>Michael De Santa</cp:lastModifiedBy>
  <cp:lastPrinted>2020-07-03T01:19:00Z</cp:lastPrinted>
  <dcterms:modified xsi:type="dcterms:W3CDTF">2020-07-03T08:24:36Z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