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 w:eastAsia="仿宋_GB2312"/>
          <w:sz w:val="32"/>
          <w:szCs w:val="32"/>
        </w:rPr>
      </w:pPr>
      <w:bookmarkStart w:id="0" w:name="_GoBack"/>
      <w:bookmarkEnd w:id="0"/>
      <w:r>
        <w:rPr>
          <w:rFonts w:hint="eastAsia" w:ascii="仿宋_GB2312" w:hAnsi="仿宋" w:eastAsia="仿宋_GB2312"/>
          <w:sz w:val="32"/>
          <w:szCs w:val="32"/>
        </w:rPr>
        <w:t>附件2：</w:t>
      </w:r>
    </w:p>
    <w:p>
      <w:pPr>
        <w:spacing w:line="7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lang w:eastAsia="zh-CN"/>
        </w:rPr>
        <w:t>塔城地区</w:t>
      </w:r>
      <w:r>
        <w:rPr>
          <w:rFonts w:hint="eastAsia" w:ascii="方正小标宋简体" w:hAnsi="宋体" w:eastAsia="方正小标宋简体"/>
          <w:sz w:val="36"/>
          <w:szCs w:val="36"/>
        </w:rPr>
        <w:t>20</w:t>
      </w:r>
      <w:r>
        <w:rPr>
          <w:rFonts w:hint="eastAsia" w:ascii="方正小标宋简体" w:hAnsi="宋体" w:eastAsia="方正小标宋简体"/>
          <w:sz w:val="36"/>
          <w:szCs w:val="36"/>
          <w:lang w:val="en-US" w:eastAsia="zh-CN"/>
        </w:rPr>
        <w:t>20</w:t>
      </w:r>
      <w:r>
        <w:rPr>
          <w:rFonts w:hint="eastAsia" w:ascii="方正小标宋简体" w:hAnsi="宋体" w:eastAsia="方正小标宋简体"/>
          <w:sz w:val="36"/>
          <w:szCs w:val="36"/>
        </w:rPr>
        <w:t>年</w:t>
      </w:r>
      <w:r>
        <w:rPr>
          <w:rFonts w:hint="eastAsia" w:ascii="方正小标宋简体" w:hAnsi="宋体" w:eastAsia="方正小标宋简体"/>
          <w:sz w:val="36"/>
          <w:szCs w:val="36"/>
          <w:lang w:eastAsia="zh-CN"/>
        </w:rPr>
        <w:t>高中</w:t>
      </w:r>
      <w:r>
        <w:rPr>
          <w:rFonts w:hint="eastAsia" w:ascii="方正小标宋简体" w:hAnsi="宋体" w:eastAsia="方正小标宋简体"/>
          <w:sz w:val="36"/>
          <w:szCs w:val="36"/>
        </w:rPr>
        <w:t>教师招聘面试考试说明</w:t>
      </w:r>
    </w:p>
    <w:p>
      <w:pPr>
        <w:spacing w:line="700" w:lineRule="exact"/>
        <w:jc w:val="center"/>
        <w:rPr>
          <w:rFonts w:hint="eastAsia" w:ascii="方正小标宋简体" w:hAnsi="宋体" w:eastAsia="方正小标宋简体"/>
          <w:sz w:val="36"/>
          <w:szCs w:val="36"/>
        </w:rPr>
      </w:pPr>
    </w:p>
    <w:p>
      <w:pPr>
        <w:spacing w:line="520" w:lineRule="exact"/>
        <w:ind w:firstLine="640" w:firstLineChars="200"/>
        <w:rPr>
          <w:rFonts w:hint="eastAsia" w:ascii="仿宋_GB2312" w:hAnsi="仿宋" w:eastAsia="仿宋_GB2312"/>
          <w:sz w:val="32"/>
          <w:szCs w:val="32"/>
        </w:rPr>
      </w:pPr>
      <w:r>
        <w:rPr>
          <w:rFonts w:hint="eastAsia" w:ascii="仿宋_GB2312" w:hAnsi="宋体" w:eastAsia="仿宋_GB2312"/>
          <w:sz w:val="32"/>
          <w:szCs w:val="32"/>
          <w:lang w:eastAsia="zh-CN"/>
        </w:rPr>
        <w:t>高中</w:t>
      </w:r>
      <w:r>
        <w:rPr>
          <w:rFonts w:hint="eastAsia" w:ascii="仿宋_GB2312" w:hAnsi="宋体" w:eastAsia="仿宋_GB2312"/>
          <w:sz w:val="32"/>
          <w:szCs w:val="32"/>
        </w:rPr>
        <w:t>教师招聘</w:t>
      </w:r>
      <w:r>
        <w:rPr>
          <w:rFonts w:hint="eastAsia" w:ascii="仿宋_GB2312" w:eastAsia="仿宋_GB2312"/>
          <w:color w:val="000000"/>
          <w:sz w:val="32"/>
          <w:szCs w:val="32"/>
        </w:rPr>
        <w:t>面试包括试讲和答辩二部分</w:t>
      </w:r>
      <w:r>
        <w:rPr>
          <w:rFonts w:hint="eastAsia" w:ascii="仿宋_GB2312" w:hAnsi="宋体" w:eastAsia="仿宋_GB2312"/>
          <w:snapToGrid w:val="0"/>
          <w:color w:val="000000"/>
          <w:kern w:val="0"/>
          <w:sz w:val="32"/>
          <w:szCs w:val="32"/>
        </w:rPr>
        <w:t>，</w:t>
      </w:r>
      <w:r>
        <w:rPr>
          <w:rFonts w:hint="eastAsia" w:ascii="仿宋_GB2312" w:hAnsi="仿宋" w:eastAsia="仿宋_GB2312"/>
          <w:sz w:val="32"/>
          <w:szCs w:val="32"/>
        </w:rPr>
        <w:t>面试总分为150分，其中试讲120分，答辩30分。面试合格分数线为90分。</w:t>
      </w:r>
      <w:r>
        <w:rPr>
          <w:rFonts w:hint="eastAsia" w:ascii="仿宋_GB2312" w:hAnsi="宋体" w:eastAsia="仿宋_GB2312"/>
          <w:snapToGrid w:val="0"/>
          <w:kern w:val="0"/>
          <w:sz w:val="32"/>
          <w:szCs w:val="32"/>
        </w:rPr>
        <w:t>具体如下：</w:t>
      </w:r>
    </w:p>
    <w:p>
      <w:pPr>
        <w:widowControl/>
        <w:snapToGrid w:val="0"/>
        <w:spacing w:line="560" w:lineRule="exact"/>
        <w:ind w:firstLine="707" w:firstLineChars="221"/>
        <w:rPr>
          <w:rFonts w:hint="eastAsia" w:ascii="仿宋_GB2312" w:eastAsia="仿宋_GB2312"/>
          <w:color w:val="000000"/>
          <w:sz w:val="32"/>
          <w:szCs w:val="32"/>
        </w:rPr>
      </w:pPr>
      <w:r>
        <w:rPr>
          <w:rFonts w:hint="eastAsia" w:ascii="仿宋_GB2312" w:hAnsi="仿宋" w:eastAsia="仿宋_GB2312"/>
          <w:sz w:val="32"/>
          <w:szCs w:val="32"/>
        </w:rPr>
        <w:t>面试以试讲及答辩方式进行，备课时间40分钟，试讲时间20分钟，答辩时间3分钟。</w:t>
      </w:r>
      <w:r>
        <w:rPr>
          <w:rFonts w:hint="eastAsia" w:ascii="仿宋_GB2312" w:eastAsia="仿宋_GB2312"/>
          <w:color w:val="000000"/>
          <w:sz w:val="32"/>
          <w:szCs w:val="32"/>
        </w:rPr>
        <w:t>面试组织部门根据考生所报学科准备面试试题，由考生现场抽取一节课，并用面试组织部门准备好的教材（均为</w:t>
      </w:r>
      <w:r>
        <w:rPr>
          <w:rFonts w:hint="eastAsia" w:ascii="仿宋_GB2312" w:eastAsia="仿宋_GB2312"/>
          <w:color w:val="000000"/>
          <w:sz w:val="32"/>
          <w:szCs w:val="32"/>
          <w:lang w:eastAsia="zh-CN"/>
        </w:rPr>
        <w:t>目前使用</w:t>
      </w:r>
      <w:r>
        <w:rPr>
          <w:rFonts w:hint="eastAsia" w:ascii="仿宋_GB2312" w:eastAsia="仿宋_GB2312"/>
          <w:color w:val="000000"/>
          <w:sz w:val="32"/>
          <w:szCs w:val="32"/>
        </w:rPr>
        <w:t>教材），在规定时间内准备一份教案，然后进行试讲，试讲完毕后进行答辩。面试主要考查考生国家通用语言文字应用能力和学科专业知识掌握情况。考生面试时必须使用国家通用语言文字。对国家通用语言文字使用情况考核不合格的，视为面试不合格。</w:t>
      </w:r>
    </w:p>
    <w:p>
      <w:pPr>
        <w:widowControl/>
        <w:snapToGrid w:val="0"/>
        <w:spacing w:line="560" w:lineRule="exact"/>
        <w:ind w:firstLine="710" w:firstLineChars="221"/>
        <w:rPr>
          <w:rFonts w:hint="eastAsia" w:ascii="仿宋_GB2312" w:hAnsi="宋体" w:eastAsia="仿宋_GB2312"/>
          <w:color w:val="000000"/>
          <w:kern w:val="0"/>
          <w:sz w:val="32"/>
          <w:szCs w:val="32"/>
        </w:rPr>
      </w:pPr>
      <w:r>
        <w:rPr>
          <w:rFonts w:hint="eastAsia" w:ascii="仿宋_GB2312" w:hAnsi="宋体" w:eastAsia="仿宋_GB2312"/>
          <w:b/>
          <w:snapToGrid w:val="0"/>
          <w:color w:val="000000"/>
          <w:kern w:val="0"/>
          <w:sz w:val="32"/>
          <w:szCs w:val="32"/>
        </w:rPr>
        <w:t>评分标准：</w:t>
      </w:r>
      <w:r>
        <w:rPr>
          <w:rFonts w:hint="eastAsia" w:ascii="仿宋_GB2312" w:hAnsi="宋体" w:eastAsia="仿宋_GB2312"/>
          <w:snapToGrid w:val="0"/>
          <w:color w:val="000000"/>
          <w:kern w:val="0"/>
          <w:sz w:val="32"/>
          <w:szCs w:val="32"/>
        </w:rPr>
        <w:t>试讲方面主要考查考生</w:t>
      </w:r>
      <w:r>
        <w:rPr>
          <w:rFonts w:hint="eastAsia" w:ascii="仿宋_GB2312" w:hAnsi="宋体" w:eastAsia="仿宋_GB2312"/>
          <w:color w:val="000000"/>
          <w:sz w:val="32"/>
          <w:szCs w:val="32"/>
        </w:rPr>
        <w:t>教案设计</w:t>
      </w:r>
      <w:r>
        <w:rPr>
          <w:rFonts w:hint="eastAsia" w:ascii="仿宋_GB2312" w:hAnsi="宋体" w:eastAsia="仿宋_GB2312"/>
          <w:snapToGrid w:val="0"/>
          <w:color w:val="000000"/>
          <w:kern w:val="0"/>
          <w:sz w:val="32"/>
          <w:szCs w:val="32"/>
        </w:rPr>
        <w:t>、</w:t>
      </w:r>
      <w:r>
        <w:rPr>
          <w:rFonts w:hint="eastAsia" w:ascii="仿宋_GB2312" w:hAnsi="宋体" w:eastAsia="仿宋_GB2312"/>
          <w:color w:val="000000"/>
          <w:sz w:val="32"/>
          <w:szCs w:val="32"/>
        </w:rPr>
        <w:t>教法学法</w:t>
      </w:r>
      <w:r>
        <w:rPr>
          <w:rFonts w:hint="eastAsia" w:ascii="仿宋_GB2312" w:hAnsi="宋体" w:eastAsia="仿宋_GB2312"/>
          <w:snapToGrid w:val="0"/>
          <w:color w:val="000000"/>
          <w:kern w:val="0"/>
          <w:sz w:val="32"/>
          <w:szCs w:val="32"/>
        </w:rPr>
        <w:t>、</w:t>
      </w:r>
      <w:r>
        <w:rPr>
          <w:rFonts w:hint="eastAsia" w:ascii="仿宋_GB2312" w:hAnsi="宋体" w:eastAsia="仿宋_GB2312"/>
          <w:color w:val="000000"/>
          <w:sz w:val="32"/>
          <w:szCs w:val="32"/>
        </w:rPr>
        <w:t xml:space="preserve"> 教学过程</w:t>
      </w:r>
      <w:r>
        <w:rPr>
          <w:rFonts w:hint="eastAsia" w:ascii="仿宋_GB2312" w:hAnsi="宋体" w:eastAsia="仿宋_GB2312"/>
          <w:snapToGrid w:val="0"/>
          <w:color w:val="000000"/>
          <w:kern w:val="0"/>
          <w:sz w:val="32"/>
          <w:szCs w:val="32"/>
        </w:rPr>
        <w:t>、</w:t>
      </w:r>
      <w:r>
        <w:rPr>
          <w:rFonts w:hint="eastAsia" w:ascii="仿宋_GB2312" w:hAnsi="宋体" w:eastAsia="仿宋_GB2312"/>
          <w:color w:val="000000"/>
          <w:sz w:val="32"/>
          <w:szCs w:val="32"/>
        </w:rPr>
        <w:t>教师素质等四方面能力</w:t>
      </w:r>
      <w:r>
        <w:rPr>
          <w:rFonts w:hint="eastAsia" w:ascii="仿宋_GB2312" w:hAnsi="宋体" w:eastAsia="仿宋_GB2312"/>
          <w:snapToGrid w:val="0"/>
          <w:color w:val="000000"/>
          <w:kern w:val="0"/>
          <w:sz w:val="32"/>
          <w:szCs w:val="32"/>
        </w:rPr>
        <w:t>；答辩方面主要考查</w:t>
      </w:r>
      <w:r>
        <w:rPr>
          <w:rFonts w:hint="eastAsia" w:ascii="仿宋_GB2312" w:hAnsi="宋体" w:eastAsia="仿宋_GB2312"/>
          <w:color w:val="000000"/>
          <w:sz w:val="32"/>
          <w:szCs w:val="32"/>
        </w:rPr>
        <w:t>专业知识、</w:t>
      </w:r>
      <w:r>
        <w:rPr>
          <w:rFonts w:hint="eastAsia" w:ascii="仿宋_GB2312" w:hAnsi="宋体" w:eastAsia="仿宋_GB2312" w:cs="宋体"/>
          <w:color w:val="000000"/>
          <w:sz w:val="32"/>
          <w:szCs w:val="32"/>
        </w:rPr>
        <w:t>思路和心理素质等方面情况。试讲与答辩还重点考查考生</w:t>
      </w:r>
      <w:r>
        <w:rPr>
          <w:rFonts w:hint="eastAsia" w:ascii="仿宋_GB2312" w:eastAsia="仿宋_GB2312"/>
          <w:color w:val="000000"/>
          <w:sz w:val="32"/>
          <w:szCs w:val="32"/>
        </w:rPr>
        <w:t>使用国家通用语言</w:t>
      </w:r>
      <w:r>
        <w:rPr>
          <w:rFonts w:hint="eastAsia" w:ascii="仿宋_GB2312" w:hAnsi="宋体" w:eastAsia="仿宋_GB2312"/>
          <w:snapToGrid w:val="0"/>
          <w:color w:val="000000"/>
          <w:kern w:val="0"/>
          <w:sz w:val="32"/>
          <w:szCs w:val="32"/>
        </w:rPr>
        <w:t>能力。</w:t>
      </w:r>
    </w:p>
    <w:p>
      <w:pPr>
        <w:spacing w:line="520" w:lineRule="exact"/>
        <w:ind w:firstLine="640" w:firstLineChars="200"/>
        <w:rPr>
          <w:rFonts w:hint="eastAsia" w:ascii="仿宋_GB2312" w:hAnsi="仿宋" w:eastAsia="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16DC5"/>
    <w:rsid w:val="463C61AE"/>
    <w:rsid w:val="536B2DEE"/>
    <w:rsid w:val="7121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2020-07-14T03:59:00Z</dcterms:created>
  <dc:creator>Administrator</dc:creator>
  <cp:lastModifiedBy>asus</cp:lastModifiedBy>
  <dcterms:modified xsi:type="dcterms:W3CDTF">2020-07-15T02:55:47Z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