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left"/>
        <w:rPr>
          <w:rFonts w:ascii="Times New Roman" w:hAnsi="Times New Roman" w:eastAsia="方正黑体简体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方正黑体简体"/>
          <w:b/>
          <w:bCs/>
          <w:kern w:val="0"/>
          <w:sz w:val="32"/>
          <w:szCs w:val="32"/>
          <w:shd w:val="clear" w:color="auto" w:fill="FFFFFF"/>
        </w:rPr>
        <w:t>附件3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方正小标宋_GBK" w:eastAsia="方正小标宋简体"/>
          <w:b/>
          <w:sz w:val="44"/>
          <w:szCs w:val="44"/>
        </w:rPr>
        <w:t>中共南充市委统战部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2020</w:t>
      </w:r>
      <w:r>
        <w:rPr>
          <w:rFonts w:hint="eastAsia" w:ascii="方正小标宋简体" w:hAnsi="方正小标宋_GBK" w:eastAsia="方正小标宋简体"/>
          <w:b/>
          <w:sz w:val="44"/>
          <w:szCs w:val="44"/>
        </w:rPr>
        <w:t>年公开考调工作人员考试报名表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姓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性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出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照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（2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寸彩色免冠）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民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籍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健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状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参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时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现级别</w:t>
            </w:r>
          </w:p>
        </w:tc>
        <w:tc>
          <w:tcPr>
            <w:tcW w:w="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联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电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身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证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近两年年度</w:t>
            </w:r>
          </w:p>
          <w:p>
            <w:pPr>
              <w:spacing w:line="32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6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6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0"/>
                <w:szCs w:val="20"/>
              </w:rPr>
              <w:tab/>
            </w: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atLeast"/>
          <w:jc w:val="center"/>
        </w:trPr>
        <w:tc>
          <w:tcPr>
            <w:tcW w:w="16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意 </w:t>
            </w:r>
            <w:r>
              <w:rPr>
                <w:rFonts w:ascii="方正仿宋_GBK" w:hAnsi="方正仿宋_GBK" w:eastAsia="方正仿宋_GBK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kern w:val="0"/>
                <w:sz w:val="24"/>
                <w:szCs w:val="24"/>
              </w:rPr>
              <w:t xml:space="preserve">                 年    月   日</w:t>
            </w:r>
          </w:p>
        </w:tc>
      </w:tr>
    </w:tbl>
    <w:p>
      <w:pPr>
        <w:snapToGrid w:val="0"/>
        <w:spacing w:line="240" w:lineRule="atLeast"/>
        <w:rPr>
          <w:rFonts w:hint="eastAsia" w:eastAsia="方正仿宋简体"/>
          <w:b/>
          <w:bCs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注意事项：1.简历含高等院校学习经历和工作经历，时间不得间断，此项必须填写；2.“奖惩情况”中获奖情况填写县（市）级以上单位（部门）表彰奖励；3.“年度考核结果”填写近2年考核情况，此项必须填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2020-07-22T06:46:25Z</dcterms:created>
  <dc:creator>Administrator</dc:creator>
  <cp:lastModifiedBy>Administrator</cp:lastModifiedBy>
  <dcterms:modified xsi:type="dcterms:W3CDTF">2020-07-22T06:47:36Z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