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155"/>
        <w:gridCol w:w="1200"/>
        <w:gridCol w:w="645"/>
        <w:gridCol w:w="1012"/>
        <w:gridCol w:w="717"/>
        <w:gridCol w:w="930"/>
        <w:gridCol w:w="152"/>
        <w:gridCol w:w="6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" w:type="dxa"/>
          <w:trHeight w:val="859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岗位  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岗位简介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招聘  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岗位代码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雷山县生态移民局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股室工作员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从事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 w:bidi="ar"/>
              </w:rPr>
              <w:t>办公室日常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工作。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专科以上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001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雷山县生态移民局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  <w:t>网格管理员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从事易地扶贫搬迁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户信息服务、资料收集等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工作。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002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F012F"/>
    <w:rsid w:val="79C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2020-09-01T07:49:00Z</dcterms:created>
  <dc:creator>Administrator</dc:creator>
  <cp:lastModifiedBy>Administrator</cp:lastModifiedBy>
  <dcterms:modified xsi:type="dcterms:W3CDTF">2020-09-01T07:51:16Z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