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rPr>
          <w:rStyle w:val="6"/>
          <w:rFonts w:ascii="Times New Roman" w:hAnsi="Times New Roman" w:eastAsia="楷体_GB2312"/>
          <w:b w:val="0"/>
          <w:bCs w:val="0"/>
          <w:color w:val="000000"/>
          <w:spacing w:val="-8"/>
          <w:sz w:val="32"/>
          <w:szCs w:val="32"/>
        </w:rPr>
      </w:pPr>
      <w:r>
        <w:rPr>
          <w:rStyle w:val="6"/>
          <w:rFonts w:hint="eastAsia" w:ascii="Times New Roman" w:hAnsi="Times New Roman" w:eastAsia="楷体_GB2312"/>
          <w:b w:val="0"/>
          <w:bCs w:val="0"/>
          <w:color w:val="000000"/>
          <w:spacing w:val="-8"/>
          <w:sz w:val="32"/>
          <w:szCs w:val="32"/>
        </w:rPr>
        <w:t>附件2：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jc w:val="center"/>
        <w:rPr>
          <w:rStyle w:val="6"/>
          <w:rFonts w:ascii="Times New Roman" w:hAnsi="Times New Roman" w:eastAsia="方正小标宋简体"/>
          <w:b w:val="0"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广元市昭化区</w:t>
      </w:r>
      <w:r>
        <w:rPr>
          <w:rStyle w:val="6"/>
          <w:rFonts w:ascii="Times New Roman" w:hAnsi="Times New Roman" w:eastAsia="方正小标宋简体"/>
          <w:b w:val="0"/>
          <w:color w:val="000000"/>
          <w:sz w:val="44"/>
          <w:szCs w:val="44"/>
        </w:rPr>
        <w:t>2020</w:t>
      </w:r>
      <w:r>
        <w:rPr>
          <w:rStyle w:val="6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年公开引进高层次人才和招聘急需紧缺专业人才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jc w:val="center"/>
        <w:rPr>
          <w:rStyle w:val="6"/>
          <w:rFonts w:ascii="Times New Roman" w:hAnsi="Times New Roman" w:eastAsia="方正小标宋简体"/>
          <w:b w:val="0"/>
          <w:color w:val="000000"/>
          <w:sz w:val="44"/>
          <w:szCs w:val="44"/>
        </w:rPr>
      </w:pPr>
      <w:r>
        <w:rPr>
          <w:rStyle w:val="6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岗位条件表</w:t>
      </w:r>
    </w:p>
    <w:bookmarkEnd w:id="0"/>
    <w:tbl>
      <w:tblPr>
        <w:tblStyle w:val="4"/>
        <w:tblW w:w="144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978"/>
        <w:gridCol w:w="966"/>
        <w:gridCol w:w="891"/>
        <w:gridCol w:w="3725"/>
        <w:gridCol w:w="441"/>
        <w:gridCol w:w="822"/>
        <w:gridCol w:w="708"/>
        <w:gridCol w:w="686"/>
        <w:gridCol w:w="686"/>
        <w:gridCol w:w="1888"/>
        <w:gridCol w:w="1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Header/>
          <w:jc w:val="center"/>
        </w:trPr>
        <w:tc>
          <w:tcPr>
            <w:tcW w:w="11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主管部门</w:t>
            </w:r>
          </w:p>
        </w:tc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用人单位</w:t>
            </w:r>
          </w:p>
        </w:tc>
        <w:tc>
          <w:tcPr>
            <w:tcW w:w="9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岗位类别</w:t>
            </w:r>
          </w:p>
        </w:tc>
        <w:tc>
          <w:tcPr>
            <w:tcW w:w="8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岗位编码</w:t>
            </w:r>
          </w:p>
        </w:tc>
        <w:tc>
          <w:tcPr>
            <w:tcW w:w="3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所需专业</w:t>
            </w:r>
          </w:p>
        </w:tc>
        <w:tc>
          <w:tcPr>
            <w:tcW w:w="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需求</w:t>
            </w: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数量</w:t>
            </w:r>
          </w:p>
        </w:tc>
        <w:tc>
          <w:tcPr>
            <w:tcW w:w="8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学历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学位</w:t>
            </w:r>
          </w:p>
        </w:tc>
        <w:tc>
          <w:tcPr>
            <w:tcW w:w="6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职称</w:t>
            </w:r>
          </w:p>
        </w:tc>
        <w:tc>
          <w:tcPr>
            <w:tcW w:w="6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年龄</w:t>
            </w:r>
          </w:p>
        </w:tc>
        <w:tc>
          <w:tcPr>
            <w:tcW w:w="1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其他要求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Header/>
          <w:jc w:val="center"/>
        </w:trPr>
        <w:tc>
          <w:tcPr>
            <w:tcW w:w="11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  <w:lang w:eastAsia="zh-CN"/>
              </w:rPr>
              <w:t>经信和科技局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2020301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经济学、国民经济管理、经济与金融、国际经济与贸易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：国民经济学、区域经济学、金融学、产业经济学、国际贸易学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区生产力促进中心、区中小企业创业服务中心各招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区政府办、昭化经济开发区管理委员会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2020302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经济学、经济统计学、金融学、金融工程、经济与金融、互联网金融、国际经济与贸易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：区域经济学、金融学、产业经济学、国际贸易学、统计学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区金融服务中心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人，昭化区工业发展集中区项目推进服务中心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区商务和经济合作局、区发展和改革局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2020303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经济学、经济统计学、国民经济管理、会计学、统计学、财政学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：国民经济学、区域经济学、财政学、金融学、统计学、应用经济学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区外来企业服务中心、区项目策划推进中心各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区交通运输局、区财政局、区人社局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2020304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财政学、会计学、财务管理、审计学、税收学、金融学、资产评估、经济统计学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：资产评估、财政学、金融学、审计学、审计、会计学、会计、财务管理、税收学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区农村公路建设事务中心（专技岗位）、区财政绩效事务中心、区农民工服务中心各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区委政法委、区审计局、区人社局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计算机科学与技术、软件工程、网络工程、信息安全、电子与计算机工程、数据科学与大数据技术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：通信与信息系统、信号与信息处理、信息与通信工程、信息安全、智能信息处理、信息网络与安全、计算机科学与技术、物联网技术、软件工程、软件工程技术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区政法宣传指导中心、区审计信息中心、区人才交流中心各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区医保局、区综合行政执法局、区应急管理局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 xml:space="preserve">    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2020306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计算机科学与技术、软件工程、网络工程、信息安全、电子与计算机工程、数据科学与大数据技术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通信与信息系统、信号与信息处理、信息与通信工程、信息安全、智能信息处理、信息网络与安全、计算机科学与技术、物联网技术、软件工程、软件工程技术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区医疗保障信息中心（专技岗位）、区城乡环境卫生事务中心、区应急指挥保障中心各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区住房和城乡建设局、区市场监管局、区交通运输局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法学、知识产权、信用风险管理与法律防控、思想政治教育、马克思主义理论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：法学、民商法学、经济法学、宪法学与行政法学、法学理论、诉讼法学、法律、法律（法学）、法律史、知识产权法学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区征收中心、区市场监督事务中心、区农村公路建设事务中心（专技岗位）各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区委政法委、区委群工局、区应急管理局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2020308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法学、知识产权、信用风险管理与法律防控、思想政治教育、马克思主义理论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：法学、民商法学、经济法学、宪法学与行政法学、法学理论、诉讼法学、法律、法律（法学）、法律史、知识产权法学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区法学会机关、区群众来访接待中心、区应急指挥保障中心各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区交通运输局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202030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工程力学、土木工程、道路桥梁与渡河工程、工程管理、工程造价、能源与动力工程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工程力学、岩土工程、结构工程、桥梁与隧道工程、建筑与土木工程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区公路养护段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人、区农村公路建设事务中心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9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区审计局、区财政局、区住房和城乡建设局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310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土木工程、建筑环境与能源应用工程、城市地下空间工程、给排水科学与工程、工程造价、工程管理、建筑工程管理、建筑经济管理、市政工程技术、水利水电工程管理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市政工程、供热、供燃气、通风及空调工程、城市规划、建筑学、土木工程、防灾减灾工程及防护工程、桥梁与隧道工程、工程管理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区政府投资审计中心仅研究生报名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区政府投资审计中心、区财政投资评审中心各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人，区住房保障事务中心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区委组织部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区高层次人才服务中心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哲学、经济学、国民经济管理、政治学与行政学、国际政治、社会工作、科学社会主义、中国共产党历史、思想政治教育、马克思主义理论、汉语言文学、秘书学、行政管理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马克思主义哲学、政治经济学、政治学理论、中外政治制度、中共党史、马克思主义基本原理、思想政治教育、行政管理、档案学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区委党校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区干部教育培训和理论研究中心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2020312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本  科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：哲学、社会学、科学社会主义、中国共产党历史、思想政治教育、马克思主义理论、汉语言文学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：马克思主义哲学、政治经济学、汉语言文字学、马克思主义基本原理、马克思主义发展史、马克思主义中国化研究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区总工会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区工人文化宫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汉语言文学、汉语言、信息资源管理、政治学、经济学与哲学、中国语言与文化、应用语言学、会计学、财务管理、审计学、工商管理、财务会计教育、人力资源管理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：汉语言文字学、语言学及应用语言学、中国古代文学、会计学、财政学、行政管理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区委宣传部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区融媒体中心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汉语言文学、汉语言、新闻学、广播电视学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：文艺学、汉语言文字学、新闻学、传播学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区委宣传部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区融媒体中心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新闻学、网络与新媒体、新媒体技术、新媒体艺术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：新闻学、新媒体、网络与新媒体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区退役军人事务局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区光荣院（太公红军山烈士陵园管理中心）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6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社会工作、劳动与社会保障、公共事业管理、财务管理、护理学、康复治疗学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：社会工作、社会保障、公共管理、会计学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区退役军人事务局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区退役军人服务中心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社会工作、劳动与社会保障、法学、计算机科学与技术、信息与计算科学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：社会工作、社会保障、宪法学与行政法学、诉讼法学、计算机科学与技术、电子信息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区民政局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区老年福利服务中心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8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社会工作、公共事业管理、社会学、食品卫生与营养学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：社会工作、社会学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区纪委监委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区廉政教育培训中心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9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：财政学、法学、会计学、信息与计算科学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：法学、财政学、统计学、计算机科学与技术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区统计局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区统计调查大队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统计学、应用统计学、经济统计学、经济学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：统计学、应用统计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区商务和经济合作局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区商务服务中心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电子商务、行政管理、公共事业管理、国际经济与贸易、经济学、国民经济管理、金融学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研究生：物流工程、工商管理、行政管理、公共管理、金融经济学、国民经济学、金融学、国际贸易学、国际商务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区林业局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区林业产业发展服务中心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林木遗传育种、森林培育、森林保护学、森林经理学、野生动植物保护与利用、水土保持与荒漠化防治、森林生态学、林业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  <w:lang w:eastAsia="zh-CN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区林业局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区林业科技推广服务中心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>: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消防工程（林火管理学方向）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：森林防火、森林防火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  <w:lang w:eastAsia="zh-CN"/>
              </w:rPr>
              <w:t>本科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区农业农村局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区新农村建设服务中心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人文地理与城乡规划、农村区域发展、城乡规划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：农村发展、区域经济学、城乡景观规划与设计、城乡环境与视觉设计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需长期下乡和从事野外工作。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区农业农村局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区新农村建设服务中心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农业水利工程、环境生态工程、设施农业科学与工程、土地整治工程、农业工程、农林经济管理、土地资源管理、地理信息科学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：农业工程与信息技术、农业水土工程、农业管理、农业经济管理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需长期下乡和从事野外工作。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区农业农村局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区动物疫病预防控制中心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6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动物科学、动物医学、动植物检疫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：基础兽医学、预防兽医学、临床兽医学、养殖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需长期下乡和从事野外工作。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区农业农村局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区植保植检站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7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植物保护、植物科学与技术、动植物检疫、生物科学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：植物病理学、农业昆虫与害虫防治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需长期下乡和从事野外工作。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区农业农村局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区特色产业发展中心（猕猴桃研究所）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8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园艺、农学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：果树学、农艺与种业、作物栽培学与耕作学、作物遗传育种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需长期下乡和从事野外工作。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区文化旅游和体育局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区平乐旅游景区服务中心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9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旅游管理、旅游管理与服务教育、旅游地学与规划工程、人文地理与城乡规划、风景园林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：旅游管理、旅游管理、风景园林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区文化旅游和体育局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区文化馆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文化产业管理、音乐表演、舞蹈编导、文物保护与修复、文化遗产、文物与博物馆学、中国语言与文化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：音乐与舞蹈学、音乐、艺术设计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区应急管理局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区气象站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大气科学、应用气象学、安全工程、消防工程、应急技术与管理、应急管理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：安全科学、安全技术、安全与应急管理、防灾减灾与防护工程、公共安全工程、安全工程、大气科学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主要从事应急救援、野外作业等。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Style w:val="8"/>
                <w:rFonts w:hint="eastAsia" w:ascii="Times New Roman" w:hAnsi="宋体" w:eastAsia="宋体" w:cs="Times New Roman"/>
                <w:sz w:val="19"/>
                <w:szCs w:val="19"/>
              </w:rPr>
              <w:t>区扶贫开发局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土木、水利与交通工程、农业工程、设施农业科学与工程、信息管理与信息系统、工程管理、农村区域发展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农业工程、农村与区域发展、设施农业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区扶贫和移民服务中心、区对外合作服务中心各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区残疾人联合会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区残疾人康复中心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康复治疗学、健康服务与管理、公共事业管理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康复医学与理疗学、社会医学与卫生事业管理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区市场监督局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区市场监督事务中心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机械工程、机械设计制造及其自动化、机械电子工程、测控技术与仪器、精密仪器、智能感知工程、材料科学与工程、电气工程及其自动化、电气工程与智能控制、电机电器智能化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机械制造及其自动化、机械电子工程、精密仪器及机械、测试计量技术及仪器、材料物理与化学、材料学、材料加工工程、电机与电器、电力系统及其自动化、机械工程、仪器仪表工程、材料工程、电气工程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区市场监督局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区市场监督信息中心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药学、药物制剂、中草药栽培与鉴定、藏药学、化妆品科学与技术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研究生：药物化学、药剂学、有机化学、生物学、药物分析、药理学、中药学、药学、中药学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3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区市场监督局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区市场监督信息中心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>: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食品科学与工程、食品质量与安全、粮食工程、乳品工程、酿酒工程、食用菌科学与工程、白酒酿造工程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学：食品科学与工程、食品科学、粮食、油脂及植物蛋白工程、农产品加工及贮藏工程、水产品加工及贮藏工程；农学：食品科学与工程、食品科学、粮食、油脂及植物蛋白工程、农产品加工及贮藏工程、水产品加工及贮藏工程、食品工程、食品加工与安全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区卫健局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临床医学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内科学、外科学、妇产科学、儿科学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本科需在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8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日前住院医师规范化培训学制结束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区人民医院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人、区妇幼保健院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区卫健局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8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临床医学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内科学、外科学、妇产科学、儿科学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区人民医院、区中医医院各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区卫健局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区中医医院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9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>: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临床医学、中医学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：内科学、外科学、妇产科学、儿科学、中医内科学、中医外科学、中医骨伤科学、中医妇科学、中医儿科学、针灸推拿学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本科需在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8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日前住院医师规范化培训学制结束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区卫健局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区卫生健康信息中心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40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：汉语言文学、汉语言、中国语言文化、应用语言学、秘书学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：语言学及应用语言学、中国当代文学、新闻学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区卫健局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区基本公共卫生服务指导中心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202034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：会计学、财务管理、审计学、财政学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：会计、审计、财政学、统计学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区教育局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元坝中学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2020342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本  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政治学、经济学与哲学 、思想政治教育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思想政治教育 、马克思主义基本原理 、马克思主义发展史 、马克思主义中国化研究 、国外马克思主义研究 、中国近现代史基本问题研究 、学科教学（思政） 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30岁及以下</w:t>
            </w: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限省属重点师范院校及以上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2017年及以后入学的研究生不限全日制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2020343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本  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物理学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理论物理 、粒子物理与原子核物理 、原子与分子物理 、等离子体物理 、凝聚态物理 、声学 、光学 、无线电物理 、学科教学（物理） 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30岁及以下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2020344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本  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生物科学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植物学 、动物学 、生理学 、细胞生物学 、生物化学与分子生物学 、生物物理学 、学科教学（生物） 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30岁及以下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2020345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本  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音乐学 、舞蹈表演 、舞蹈学 、舞蹈教育 、舞蹈编导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音乐 、舞蹈 、音乐与舞蹈学 、学科教学（音乐） 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30岁及以下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</w:tr>
    </w:tbl>
    <w:p>
      <w:pPr>
        <w:widowControl/>
        <w:spacing w:line="280" w:lineRule="exact"/>
        <w:jc w:val="left"/>
        <w:textAlignment w:val="center"/>
        <w:rPr>
          <w:rFonts w:ascii="Times New Roman" w:hAnsi="宋体"/>
          <w:color w:val="000000"/>
          <w:kern w:val="0"/>
          <w:sz w:val="19"/>
          <w:szCs w:val="19"/>
        </w:rPr>
        <w:sectPr>
          <w:pgSz w:w="16838" w:h="11906" w:orient="landscape"/>
          <w:pgMar w:top="1531" w:right="1304" w:bottom="1418" w:left="1304" w:header="964" w:footer="1134" w:gutter="0"/>
          <w:cols w:space="0" w:num="1"/>
          <w:docGrid w:type="lines" w:linePitch="320" w:charSpace="0"/>
        </w:sectPr>
      </w:pPr>
    </w:p>
    <w:p>
      <w:pPr>
        <w:spacing w:line="576" w:lineRule="exact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5" w:left="1588" w:header="964" w:footer="1588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7"/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t xml:space="preserve">— </w:t>
    </w: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26</w:t>
    </w:r>
    <w:r>
      <w:rPr>
        <w:rStyle w:val="7"/>
        <w:rFonts w:ascii="Times New Roman" w:hAnsi="Times New Roman"/>
        <w:sz w:val="28"/>
        <w:szCs w:val="28"/>
      </w:rPr>
      <w:fldChar w:fldCharType="end"/>
    </w:r>
    <w:r>
      <w:rPr>
        <w:rStyle w:val="7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77970"/>
    <w:rsid w:val="75E7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customStyle="1" w:styleId="8">
    <w:name w:val="font141"/>
    <w:basedOn w:val="5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2020-11-03T03:56:00Z</dcterms:created>
  <dc:creator>Administrator</dc:creator>
  <cp:lastModifiedBy>Administrator</cp:lastModifiedBy>
  <dcterms:modified xsi:type="dcterms:W3CDTF">2020-11-03T03:56:53Z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